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7D" w:rsidRDefault="00652E7D" w:rsidP="00652E7D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652E7D" w:rsidRDefault="00652E7D" w:rsidP="00652E7D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652E7D" w:rsidTr="004A7839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652E7D" w:rsidRDefault="00652E7D" w:rsidP="004A7839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652E7D" w:rsidRDefault="00652E7D" w:rsidP="004A78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08.04.2021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6                               </w:t>
            </w:r>
          </w:p>
          <w:p w:rsidR="00652E7D" w:rsidRDefault="00652E7D" w:rsidP="004A7839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652E7D" w:rsidRDefault="00652E7D" w:rsidP="00652E7D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652E7D" w:rsidRDefault="00652E7D" w:rsidP="00652E7D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652E7D" w:rsidRPr="00E801B9" w:rsidRDefault="00652E7D" w:rsidP="00652E7D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652E7D" w:rsidTr="004A7839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7D" w:rsidRPr="00691C02" w:rsidRDefault="00652E7D" w:rsidP="004A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652E7D" w:rsidRPr="00652E7D" w:rsidRDefault="00652E7D" w:rsidP="00652E7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Информация пожарного надзора.</w:t>
            </w:r>
          </w:p>
          <w:p w:rsidR="00652E7D" w:rsidRDefault="00652E7D" w:rsidP="004A7839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Стр. 1-2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652E7D" w:rsidRPr="00E801B9" w:rsidTr="004A7839">
        <w:trPr>
          <w:trHeight w:val="292"/>
        </w:trPr>
        <w:tc>
          <w:tcPr>
            <w:tcW w:w="247" w:type="dxa"/>
          </w:tcPr>
          <w:p w:rsidR="00652E7D" w:rsidRPr="00E801B9" w:rsidRDefault="00652E7D" w:rsidP="004A7839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52E7D" w:rsidRPr="00E801B9" w:rsidTr="004A7839">
        <w:trPr>
          <w:trHeight w:val="270"/>
        </w:trPr>
        <w:tc>
          <w:tcPr>
            <w:tcW w:w="247" w:type="dxa"/>
          </w:tcPr>
          <w:p w:rsidR="00652E7D" w:rsidRPr="00E801B9" w:rsidRDefault="00652E7D" w:rsidP="004A7839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52E7D" w:rsidRPr="00E801B9" w:rsidTr="004A7839">
        <w:trPr>
          <w:cantSplit/>
          <w:trHeight w:val="270"/>
        </w:trPr>
        <w:tc>
          <w:tcPr>
            <w:tcW w:w="247" w:type="dxa"/>
          </w:tcPr>
          <w:p w:rsidR="00652E7D" w:rsidRPr="00E801B9" w:rsidRDefault="00652E7D" w:rsidP="004A78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652E7D" w:rsidRDefault="00652E7D" w:rsidP="00652E7D">
      <w:pPr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52E7D" w:rsidRPr="00DE6E19" w:rsidRDefault="00652E7D" w:rsidP="00652E7D">
      <w:pPr>
        <w:jc w:val="center"/>
        <w:rPr>
          <w:b/>
          <w:bCs/>
          <w:sz w:val="16"/>
          <w:szCs w:val="16"/>
        </w:rPr>
      </w:pPr>
      <w:r w:rsidRPr="00DE6E19">
        <w:rPr>
          <w:b/>
          <w:bCs/>
          <w:sz w:val="16"/>
          <w:szCs w:val="16"/>
        </w:rPr>
        <w:t>ГОСУДАРСТВЕННЫЙ ПОЖАРНЫЙ НАДЗОР ИНФОРМИРУЕТ!</w:t>
      </w:r>
    </w:p>
    <w:p w:rsidR="00652E7D" w:rsidRPr="00DE6E19" w:rsidRDefault="00652E7D" w:rsidP="00652E7D">
      <w:pPr>
        <w:spacing w:after="465" w:line="557" w:lineRule="atLeast"/>
        <w:jc w:val="center"/>
        <w:textAlignment w:val="baseline"/>
        <w:outlineLvl w:val="0"/>
        <w:rPr>
          <w:i/>
          <w:spacing w:val="-6"/>
          <w:kern w:val="36"/>
          <w:sz w:val="16"/>
          <w:szCs w:val="16"/>
        </w:rPr>
      </w:pPr>
      <w:r w:rsidRPr="00DE6E19">
        <w:rPr>
          <w:i/>
          <w:spacing w:val="-6"/>
          <w:kern w:val="36"/>
          <w:sz w:val="16"/>
          <w:szCs w:val="16"/>
        </w:rPr>
        <w:t>Необходимо соблюдать правила пожарной безопасности в быту!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102235</wp:posOffset>
            </wp:positionV>
            <wp:extent cx="2112645" cy="2599055"/>
            <wp:effectExtent l="19050" t="0" r="1905" b="0"/>
            <wp:wrapTight wrapText="bothSides">
              <wp:wrapPolygon edited="0">
                <wp:start x="-195" y="0"/>
                <wp:lineTo x="-195" y="21373"/>
                <wp:lineTo x="21619" y="21373"/>
                <wp:lineTo x="21619" y="0"/>
                <wp:lineTo x="-195" y="0"/>
              </wp:wrapPolygon>
            </wp:wrapTight>
            <wp:docPr id="2" name="Рисунок 1" descr="C:\Users\Дмитрий\Desktop\СМИ\в быту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СМИ\в быту 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6E19">
        <w:rPr>
          <w:sz w:val="16"/>
          <w:szCs w:val="16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Правила пожарной безопасности при эксплуатации электрооборудования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При эксплуатации электроприборов ЗАПРЕЩАЕТСЯ: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proofErr w:type="gramStart"/>
      <w:r w:rsidRPr="00DE6E19">
        <w:rPr>
          <w:sz w:val="16"/>
          <w:szCs w:val="16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  <w:proofErr w:type="gramEnd"/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Запрещается использовать поврежденные выключатели, розетки, патроны и т.д.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Запрещается окрашивать краской или заклеивать открытую электропроводку обоями.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Включенные электронагревательные приборы должны быть установлены на негорючие теплоизоляционные подставки.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Правила пожарной безопасности при эксплуатации печного отопления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При эксплуатации печного отопления ЗАПРЕЩАЕТСЯ: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– оставлять без присмотра печи, которые топятся, а также поручать надзор за ними детям;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 xml:space="preserve">– располагать топливо, другие горючие вещества и материалы на </w:t>
      </w:r>
      <w:proofErr w:type="spellStart"/>
      <w:r w:rsidRPr="00DE6E19">
        <w:rPr>
          <w:sz w:val="16"/>
          <w:szCs w:val="16"/>
        </w:rPr>
        <w:t>предтопочном</w:t>
      </w:r>
      <w:proofErr w:type="spellEnd"/>
      <w:r w:rsidRPr="00DE6E19">
        <w:rPr>
          <w:sz w:val="16"/>
          <w:szCs w:val="16"/>
        </w:rPr>
        <w:t xml:space="preserve"> листе;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 xml:space="preserve">– применять для розжига печей бензин, керосин, дизельное топливо и </w:t>
      </w:r>
      <w:proofErr w:type="gramStart"/>
      <w:r w:rsidRPr="00DE6E19">
        <w:rPr>
          <w:sz w:val="16"/>
          <w:szCs w:val="16"/>
        </w:rPr>
        <w:t>другие</w:t>
      </w:r>
      <w:proofErr w:type="gramEnd"/>
      <w:r w:rsidRPr="00DE6E19">
        <w:rPr>
          <w:sz w:val="16"/>
          <w:szCs w:val="16"/>
        </w:rPr>
        <w:t xml:space="preserve">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– топить углем, коксом и газом печи, не предназначенные для этих видов топлива;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– производить топку печей во время проведения в помещениях собраний и других массовых мероприятий;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– использовать вентиляционные и газовые каналы в качестве дымоходов;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– сушить одежду, дрова и другие материалы на печах и возле них;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– топить печи с открытой дверцей;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lastRenderedPageBreak/>
        <w:t>– перекаливать печи.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Не доверяйте кладку печей случайным людям. Кладка печи должна строго соответствовать специальным строительным нормам и правилам (</w:t>
      </w:r>
      <w:proofErr w:type="spellStart"/>
      <w:r w:rsidRPr="00DE6E19">
        <w:rPr>
          <w:sz w:val="16"/>
          <w:szCs w:val="16"/>
        </w:rPr>
        <w:t>СНИПам</w:t>
      </w:r>
      <w:proofErr w:type="spellEnd"/>
      <w:r w:rsidRPr="00DE6E19">
        <w:rPr>
          <w:sz w:val="16"/>
          <w:szCs w:val="16"/>
        </w:rPr>
        <w:t>) на строительство печей.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Запрещается эксплуатировать печи и другие отопительные приборы без противопожарных разделок (</w:t>
      </w:r>
      <w:proofErr w:type="spellStart"/>
      <w:r w:rsidRPr="00DE6E19">
        <w:rPr>
          <w:sz w:val="16"/>
          <w:szCs w:val="16"/>
        </w:rPr>
        <w:t>отступок</w:t>
      </w:r>
      <w:proofErr w:type="spellEnd"/>
      <w:r w:rsidRPr="00DE6E19">
        <w:rPr>
          <w:sz w:val="16"/>
          <w:szCs w:val="16"/>
        </w:rPr>
        <w:t xml:space="preserve">) от горючих конструкций, </w:t>
      </w:r>
      <w:proofErr w:type="spellStart"/>
      <w:r w:rsidRPr="00DE6E19">
        <w:rPr>
          <w:sz w:val="16"/>
          <w:szCs w:val="16"/>
        </w:rPr>
        <w:t>предтопочных</w:t>
      </w:r>
      <w:proofErr w:type="spellEnd"/>
      <w:r w:rsidRPr="00DE6E19">
        <w:rPr>
          <w:sz w:val="16"/>
          <w:szCs w:val="16"/>
        </w:rPr>
        <w:t xml:space="preserve"> листов, изготовленных из негорючего материала размером не менее 0,5х</w:t>
      </w:r>
      <w:proofErr w:type="gramStart"/>
      <w:r w:rsidRPr="00DE6E19">
        <w:rPr>
          <w:sz w:val="16"/>
          <w:szCs w:val="16"/>
        </w:rPr>
        <w:t>0</w:t>
      </w:r>
      <w:proofErr w:type="gramEnd"/>
      <w:r w:rsidRPr="00DE6E19">
        <w:rPr>
          <w:sz w:val="16"/>
          <w:szCs w:val="16"/>
        </w:rPr>
        <w:t>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DE6E19">
        <w:rPr>
          <w:sz w:val="16"/>
          <w:szCs w:val="16"/>
        </w:rPr>
        <w:t>отступках</w:t>
      </w:r>
      <w:proofErr w:type="spellEnd"/>
      <w:r w:rsidRPr="00DE6E19">
        <w:rPr>
          <w:sz w:val="16"/>
          <w:szCs w:val="16"/>
        </w:rPr>
        <w:t xml:space="preserve">) и </w:t>
      </w:r>
      <w:proofErr w:type="spellStart"/>
      <w:r w:rsidRPr="00DE6E19">
        <w:rPr>
          <w:sz w:val="16"/>
          <w:szCs w:val="16"/>
        </w:rPr>
        <w:t>предтопочных</w:t>
      </w:r>
      <w:proofErr w:type="spellEnd"/>
      <w:r w:rsidRPr="00DE6E19">
        <w:rPr>
          <w:sz w:val="16"/>
          <w:szCs w:val="16"/>
        </w:rPr>
        <w:t xml:space="preserve"> листах.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Дымовые трубы над сгораемыми крышами должны иметь искроуловители (металлические сетки).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• Зола и шлак, выгребаемые из топок, должны быть тщательно пролиты водой и удалены в специально отведенное для этого место.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 xml:space="preserve">• Помните, что пожар может возникнуть в результате проникновения огня и искр через трещины и </w:t>
      </w:r>
      <w:proofErr w:type="spellStart"/>
      <w:r w:rsidRPr="00DE6E19">
        <w:rPr>
          <w:sz w:val="16"/>
          <w:szCs w:val="16"/>
        </w:rPr>
        <w:t>неплотности</w:t>
      </w:r>
      <w:proofErr w:type="spellEnd"/>
      <w:r w:rsidRPr="00DE6E19">
        <w:rPr>
          <w:sz w:val="16"/>
          <w:szCs w:val="16"/>
        </w:rPr>
        <w:t xml:space="preserve">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Пожар легче предупредить, чем потушить!</w:t>
      </w:r>
    </w:p>
    <w:p w:rsidR="00652E7D" w:rsidRPr="00DE6E19" w:rsidRDefault="00652E7D" w:rsidP="00652E7D">
      <w:pPr>
        <w:pStyle w:val="a8"/>
        <w:spacing w:before="0" w:beforeAutospacing="0" w:after="0" w:afterAutospacing="0"/>
        <w:textAlignment w:val="baseline"/>
        <w:rPr>
          <w:sz w:val="16"/>
          <w:szCs w:val="16"/>
        </w:rPr>
      </w:pPr>
      <w:r w:rsidRPr="00DE6E19">
        <w:rPr>
          <w:sz w:val="16"/>
          <w:szCs w:val="16"/>
        </w:rPr>
        <w:t>Единый телефон службы спасения «112» или «101»</w:t>
      </w:r>
    </w:p>
    <w:p w:rsidR="00652E7D" w:rsidRPr="00DE6E19" w:rsidRDefault="00652E7D" w:rsidP="00652E7D">
      <w:pPr>
        <w:pStyle w:val="a3"/>
        <w:jc w:val="both"/>
        <w:rPr>
          <w:b/>
          <w:bCs/>
          <w:sz w:val="16"/>
          <w:szCs w:val="16"/>
        </w:rPr>
      </w:pPr>
    </w:p>
    <w:p w:rsidR="00652E7D" w:rsidRPr="00652E7D" w:rsidRDefault="00652E7D" w:rsidP="00652E7D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652E7D">
        <w:rPr>
          <w:rFonts w:ascii="Times New Roman" w:hAnsi="Times New Roman"/>
          <w:b/>
          <w:bCs/>
          <w:sz w:val="16"/>
          <w:szCs w:val="16"/>
        </w:rPr>
        <w:t xml:space="preserve">Старший инспектор </w:t>
      </w:r>
      <w:proofErr w:type="spellStart"/>
      <w:r w:rsidRPr="00652E7D">
        <w:rPr>
          <w:rFonts w:ascii="Times New Roman" w:hAnsi="Times New Roman"/>
          <w:b/>
          <w:bCs/>
          <w:sz w:val="16"/>
          <w:szCs w:val="16"/>
        </w:rPr>
        <w:t>ОНДиПР</w:t>
      </w:r>
      <w:proofErr w:type="spellEnd"/>
      <w:r w:rsidRPr="00652E7D">
        <w:rPr>
          <w:rFonts w:ascii="Times New Roman" w:hAnsi="Times New Roman"/>
          <w:b/>
          <w:bCs/>
          <w:sz w:val="16"/>
          <w:szCs w:val="16"/>
        </w:rPr>
        <w:t xml:space="preserve"> по Карасукскому району</w:t>
      </w:r>
    </w:p>
    <w:p w:rsidR="00652E7D" w:rsidRPr="00652E7D" w:rsidRDefault="00652E7D" w:rsidP="00652E7D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652E7D">
        <w:rPr>
          <w:rFonts w:ascii="Times New Roman" w:hAnsi="Times New Roman"/>
          <w:b/>
          <w:bCs/>
          <w:sz w:val="16"/>
          <w:szCs w:val="16"/>
        </w:rPr>
        <w:t>УНДиПР</w:t>
      </w:r>
      <w:proofErr w:type="spellEnd"/>
      <w:r w:rsidRPr="00652E7D">
        <w:rPr>
          <w:rFonts w:ascii="Times New Roman" w:hAnsi="Times New Roman"/>
          <w:b/>
          <w:bCs/>
          <w:sz w:val="16"/>
          <w:szCs w:val="16"/>
        </w:rPr>
        <w:t xml:space="preserve"> ГУ МЧС России по Новосибирской области </w:t>
      </w:r>
    </w:p>
    <w:p w:rsidR="00652E7D" w:rsidRPr="00652E7D" w:rsidRDefault="00652E7D" w:rsidP="00652E7D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652E7D">
        <w:rPr>
          <w:rFonts w:ascii="Times New Roman" w:hAnsi="Times New Roman"/>
          <w:b/>
          <w:sz w:val="16"/>
          <w:szCs w:val="16"/>
        </w:rPr>
        <w:t>майор   внутренней  службы   Алексеев А.А</w:t>
      </w:r>
    </w:p>
    <w:p w:rsidR="00652E7D" w:rsidRPr="00DE6E19" w:rsidRDefault="00652E7D" w:rsidP="00652E7D">
      <w:pPr>
        <w:pStyle w:val="a9"/>
        <w:ind w:left="5528"/>
        <w:jc w:val="center"/>
        <w:rPr>
          <w:sz w:val="16"/>
          <w:szCs w:val="16"/>
        </w:rPr>
      </w:pPr>
    </w:p>
    <w:p w:rsidR="00652E7D" w:rsidRPr="00DE6E19" w:rsidRDefault="00652E7D" w:rsidP="00652E7D">
      <w:pPr>
        <w:pStyle w:val="a9"/>
        <w:ind w:left="5528"/>
        <w:jc w:val="center"/>
        <w:rPr>
          <w:sz w:val="16"/>
          <w:szCs w:val="16"/>
        </w:rPr>
      </w:pPr>
    </w:p>
    <w:p w:rsidR="00652E7D" w:rsidRPr="00DE6E19" w:rsidRDefault="00652E7D" w:rsidP="00652E7D">
      <w:pPr>
        <w:pStyle w:val="a9"/>
        <w:ind w:left="5528"/>
        <w:jc w:val="center"/>
        <w:rPr>
          <w:sz w:val="16"/>
          <w:szCs w:val="16"/>
          <w:lang w:val="ru-RU"/>
        </w:rPr>
      </w:pPr>
    </w:p>
    <w:p w:rsidR="00652E7D" w:rsidRPr="00DE6E19" w:rsidRDefault="00652E7D" w:rsidP="00652E7D">
      <w:pPr>
        <w:pStyle w:val="a9"/>
        <w:ind w:left="5528"/>
        <w:jc w:val="center"/>
        <w:rPr>
          <w:sz w:val="16"/>
          <w:szCs w:val="16"/>
          <w:lang w:val="ru-RU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Default="00652E7D" w:rsidP="00652E7D">
      <w:pPr>
        <w:rPr>
          <w:rFonts w:ascii="Arial" w:eastAsia="Times New Roman" w:hAnsi="Arial" w:cs="Arial"/>
          <w:b/>
          <w:sz w:val="16"/>
          <w:szCs w:val="16"/>
        </w:rPr>
      </w:pPr>
    </w:p>
    <w:p w:rsidR="00652E7D" w:rsidRPr="0081101C" w:rsidRDefault="00652E7D" w:rsidP="00652E7D">
      <w:pPr>
        <w:rPr>
          <w:sz w:val="16"/>
          <w:szCs w:val="16"/>
        </w:rPr>
      </w:pPr>
    </w:p>
    <w:p w:rsidR="00652E7D" w:rsidRDefault="00652E7D" w:rsidP="00652E7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652E7D" w:rsidRDefault="00652E7D" w:rsidP="00652E7D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B04285" w:rsidRDefault="00B04285"/>
    <w:sectPr w:rsidR="00B04285" w:rsidSect="00576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B04285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52E7D">
      <w:rPr>
        <w:noProof/>
      </w:rPr>
      <w:t>1</w:t>
    </w:r>
    <w:r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E7D"/>
    <w:rsid w:val="00652E7D"/>
    <w:rsid w:val="00B0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E7D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652E7D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652E7D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E7D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652E7D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652E7D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652E7D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652E7D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652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52E7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52E7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5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652E7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Основной текст Знак"/>
    <w:basedOn w:val="a0"/>
    <w:link w:val="a9"/>
    <w:rsid w:val="00652E7D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5082</Characters>
  <Application>Microsoft Office Word</Application>
  <DocSecurity>0</DocSecurity>
  <Lines>42</Lines>
  <Paragraphs>11</Paragraphs>
  <ScaleCrop>false</ScaleCrop>
  <Company>Home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2021-04-08T01:50:00Z</dcterms:created>
  <dcterms:modified xsi:type="dcterms:W3CDTF">2021-04-08T01:53:00Z</dcterms:modified>
</cp:coreProperties>
</file>